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B76B" w14:textId="77777777" w:rsidR="00193A1E" w:rsidRDefault="00193A1E" w:rsidP="00193A1E">
      <w:pPr>
        <w:widowControl w:val="0"/>
        <w:autoSpaceDE w:val="0"/>
        <w:autoSpaceDN w:val="0"/>
        <w:adjustRightInd w:val="0"/>
        <w:spacing w:after="480"/>
        <w:jc w:val="both"/>
        <w:rPr>
          <w:rFonts w:ascii="Verdana" w:hAnsi="Verdana" w:cs="Verdana"/>
          <w:b/>
          <w:bCs/>
          <w:color w:val="383838"/>
          <w:sz w:val="48"/>
          <w:szCs w:val="48"/>
          <w:lang w:val="en-US"/>
        </w:rPr>
      </w:pPr>
      <w:r>
        <w:rPr>
          <w:rFonts w:ascii="Verdana" w:hAnsi="Verdana" w:cs="Verdana"/>
          <w:b/>
          <w:bCs/>
          <w:color w:val="383838"/>
          <w:sz w:val="48"/>
          <w:szCs w:val="48"/>
          <w:lang w:val="en-US"/>
        </w:rPr>
        <w:t xml:space="preserve">Subsidies </w:t>
      </w:r>
      <w:proofErr w:type="spellStart"/>
      <w:r>
        <w:rPr>
          <w:rFonts w:ascii="Verdana" w:hAnsi="Verdana" w:cs="Verdana"/>
          <w:b/>
          <w:bCs/>
          <w:color w:val="383838"/>
          <w:sz w:val="48"/>
          <w:szCs w:val="48"/>
          <w:lang w:val="en-US"/>
        </w:rPr>
        <w:t>toegekend</w:t>
      </w:r>
      <w:proofErr w:type="spellEnd"/>
      <w:r>
        <w:rPr>
          <w:rFonts w:ascii="Verdana" w:hAnsi="Verdana" w:cs="Verdana"/>
          <w:b/>
          <w:bCs/>
          <w:color w:val="383838"/>
          <w:sz w:val="48"/>
          <w:szCs w:val="48"/>
          <w:lang w:val="en-US"/>
        </w:rPr>
        <w:t xml:space="preserve"> in 2011 en 2012 </w:t>
      </w:r>
    </w:p>
    <w:p w14:paraId="69C94EF3" w14:textId="77777777" w:rsidR="00193A1E" w:rsidRDefault="00193A1E" w:rsidP="00193A1E">
      <w:pPr>
        <w:widowControl w:val="0"/>
        <w:autoSpaceDE w:val="0"/>
        <w:autoSpaceDN w:val="0"/>
        <w:adjustRightInd w:val="0"/>
        <w:spacing w:after="280"/>
        <w:jc w:val="both"/>
        <w:rPr>
          <w:rFonts w:ascii="Verdana" w:hAnsi="Verdana" w:cs="Verdana"/>
          <w:color w:val="383838"/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000"/>
        <w:gridCol w:w="580"/>
        <w:gridCol w:w="500"/>
        <w:gridCol w:w="4160"/>
      </w:tblGrid>
      <w:tr w:rsidR="00193A1E" w14:paraId="65A17D7B" w14:textId="77777777" w:rsidTr="00193A1E"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E6A5BA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3517986D" wp14:editId="653F4BC9">
                  <wp:extent cx="128905" cy="12890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70CE87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484B5515" wp14:editId="0D0BD229">
                  <wp:extent cx="2231719" cy="1877695"/>
                  <wp:effectExtent l="0" t="0" r="3810" b="190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719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AFD18E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071D7D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MasterGala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2012</w:t>
            </w:r>
          </w:p>
          <w:p w14:paraId="43030346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Op 31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maart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startte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de Grote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Oosterpoort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fraaie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nieuwe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traditie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: het Master Gala 2012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Prins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Claus Conservatorium,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onderdeel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Hanzehogeschool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Groningen. Het Master Gala 2012 is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eerste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editie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jaarlijks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terugkerend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evenement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(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inter)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nationale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allure,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waarin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culturele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bestuurlijke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sociaaleconomische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relaties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tussen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Nederland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Duitsland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centraal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193A1E" w14:paraId="63C08226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7BB7C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630DD18E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4DE09E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98A25F8" wp14:editId="63DF61F9">
                  <wp:extent cx="128905" cy="12890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AEEE0F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Herdenkingsconcert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Joure</w:t>
            </w:r>
            <w:proofErr w:type="spellEnd"/>
          </w:p>
          <w:p w14:paraId="42EF7537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NAtionaal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Symfonisch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KAmerorkest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Kamerkoor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Dualis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solisten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Roelien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Wageningen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sopraan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Erks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Jan Dekker (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bariton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) en Jan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Vermaning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dirigent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gaven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initiatief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stichting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Nationale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Herdenking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Joure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herdenkingsconcert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Hobbe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Baerdtkerk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Joure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Uitgevoerd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Requiem van Gabriel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Fauré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70888F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33BE07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BBE8738" wp14:editId="27562931">
                  <wp:extent cx="2128450" cy="1443355"/>
                  <wp:effectExtent l="0" t="0" r="5715" b="444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450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1E" w14:paraId="73ED6AF5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D2B93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03F5C161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2D40EC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2F76F8F8" wp14:editId="023A1678">
                  <wp:extent cx="128905" cy="12890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208AC1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97C9AF1" wp14:editId="0C50BC83">
                  <wp:extent cx="2755824" cy="1942042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824" cy="194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77F30B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B3BA2C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expositie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"going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Merz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"</w:t>
            </w:r>
          </w:p>
          <w:p w14:paraId="25FA0746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In kunstruimte09 in Groningen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exposeren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20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t/m 25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juni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2012 Mark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Overeem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Saskia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Koops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gebaseerd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Kurt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Schwitters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merzbau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vanuit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één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vaste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grondgedachte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: </w:t>
            </w:r>
            <w:proofErr w:type="spellStart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Verwerp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grenzen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tussen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disciplines,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tussen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banaal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is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belang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tussen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kitsch,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onzin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193A1E" w14:paraId="09AB900D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085B84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20473893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C205F0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05CB777" wp14:editId="4FF6F832">
                  <wp:extent cx="128905" cy="12890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6A790A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Expositie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Afrika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Museum 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Goddelijk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griezelig</w:t>
            </w:r>
            <w:proofErr w:type="spellEnd"/>
          </w:p>
          <w:p w14:paraId="42B25EF5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prehistorie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tot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hier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nu,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indrukwekkende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installaties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tot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objecten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centimeter: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tentoonstelling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Goddelijk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Griezelig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toont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kunstenaars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tijden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culturen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speelt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mondiaal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zo’n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prominente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rol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mythologie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beeldende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slang. In de mode van 2012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wordt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gesproken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slang.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Vanwaar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toch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fascinatie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mens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dodelijk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giftig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bedreigend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overkomt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?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Goddelijk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Griezelig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probeert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geheim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slang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ontrafelen</w:t>
            </w:r>
            <w:proofErr w:type="spellEnd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. 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F1AD2D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8D7ED4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509C704D" wp14:editId="1C8D2785">
                  <wp:extent cx="1903095" cy="2926080"/>
                  <wp:effectExtent l="0" t="0" r="190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1E" w14:paraId="552EF671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5223A9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314AB20C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B1240C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6E31E238" wp14:editId="0AC0746F">
                  <wp:extent cx="128905" cy="12890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C08F69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43F83FE" wp14:editId="63B76D8E">
                  <wp:extent cx="4761865" cy="1056640"/>
                  <wp:effectExtent l="0" t="0" r="0" b="1016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1E" w14:paraId="4724C067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9D366D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  <w:tc>
          <w:tcPr>
            <w:tcW w:w="1024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DB2B0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  <w:p w14:paraId="3CFCE187" w14:textId="77777777" w:rsidR="00193A1E" w:rsidRDefault="00193A1E" w:rsidP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Waarom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is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heer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Bommel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beer en Tom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Poes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kat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?</w:t>
            </w:r>
          </w:p>
          <w:p w14:paraId="4C64DED8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Onder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titel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organiseert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Nederlands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Stripmuseum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Groningen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over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Marten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Toonder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De opening was op 24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april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2012.</w:t>
            </w:r>
          </w:p>
          <w:p w14:paraId="54C5E666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brengt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speelse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verrassende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wijze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woord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beeld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verhaal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Marten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Toonder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striptekenaar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verhalenverteller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toont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door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brede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opzet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interessants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leeftijdsgroepen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193A1E" w14:paraId="6707210A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F61817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0A3D9420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8B720C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EF2C8F7" wp14:editId="1314602F">
                  <wp:extent cx="128905" cy="128905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A30209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FBAA43F" wp14:editId="063BCF12">
                  <wp:extent cx="2540000" cy="3305175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91FEA5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E2BE95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Kunstencongres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19-4-2012</w:t>
            </w:r>
          </w:p>
          <w:p w14:paraId="53B62E46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Onder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titel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"ART IST IMPORTANT"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organiseerde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Studievereniging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IK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Kunstencongres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2012</w:t>
            </w:r>
          </w:p>
          <w:p w14:paraId="0F1A0C99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</w:p>
          <w:p w14:paraId="756202E6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Welke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kunstenaars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muzikanten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acteurs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of auteurs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vindt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u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goed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?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ligt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? Hoe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kijken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we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vandaag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dag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kunstenaars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hoe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we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kunstwerken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twee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eigenlijk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los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koppelen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?</w:t>
            </w:r>
          </w:p>
          <w:p w14:paraId="4C163009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</w:p>
        </w:tc>
      </w:tr>
      <w:tr w:rsidR="00193A1E" w14:paraId="78868FB9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854B5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3FA06B9D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44A2AB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3F839246" wp14:editId="358F4BC4">
                  <wp:extent cx="128905" cy="128905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215AB5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WINTERREISE 29-10-2011 t/m 25-03-2012</w:t>
            </w:r>
          </w:p>
          <w:p w14:paraId="73A18A66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Winterreise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cultureel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project,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gabaseerd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liederencyclus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Winterreise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"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1827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componist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Franz Schubert, die 24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poëtische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teksten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Duitse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lyrische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dichter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Wilhelm Müller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verklankt</w:t>
            </w:r>
            <w:proofErr w:type="spellEnd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. 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47512F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0241BB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555A6ADB" wp14:editId="08C2266F">
                  <wp:extent cx="1438501" cy="1777788"/>
                  <wp:effectExtent l="0" t="0" r="9525" b="63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56" cy="177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1E" w14:paraId="17B1F960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4D4739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6AFCBD3E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B89D09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B491FC2" wp14:editId="5F540820">
                  <wp:extent cx="128905" cy="128905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6D2ED9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35C8ABBC" wp14:editId="6E712BA7">
                  <wp:extent cx="2522008" cy="302641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549" cy="302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AB06BB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2E3436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Clear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Fotofestival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Groningen</w:t>
            </w:r>
          </w:p>
          <w:p w14:paraId="0C95D443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tweede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achtereenvolgende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keer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organiseerde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Stichting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Clear het "Clear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Fotofestival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Groningen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. </w:t>
            </w:r>
            <w:proofErr w:type="spellStart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Onder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Democratie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Ideologie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terugverwijst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veranderende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omstandigheden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Noord-Afrika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Midden-Oosten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waren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verschillende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exposities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World Press Photo en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Zilveren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Camera</w:t>
            </w:r>
          </w:p>
        </w:tc>
      </w:tr>
      <w:tr w:rsidR="00193A1E" w14:paraId="5A87CBB7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4E87C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208A4256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9F1043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6A49624" wp14:editId="732088EA">
                  <wp:extent cx="128905" cy="128905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3F9994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Grenzeloze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zang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" door het Apollo Ensemble</w:t>
            </w:r>
          </w:p>
          <w:p w14:paraId="05F3A84C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Joodse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Barokmuziek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niet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één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plaats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of land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binden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Het was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juist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muziek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die door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handel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migratie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verschillende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plaatsen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ontstond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Echter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één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componist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Italië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Salomon Rossi,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één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bibliotheek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Ets-chaim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Amsterdam,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belangrijkste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historische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bronnen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bibliotheek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heeft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Ton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Koopman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speciaal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Apollo Ensemble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aantal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uitgewerkt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gereconstrueerd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ontroerend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mooi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programma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rond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Rossi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tijdgenoten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cantates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bibliotheek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Portugese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synagoge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Italiaans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Engelse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Handel en Jacob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Cervetto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8C23CE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467884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42316ECC" wp14:editId="7D745043">
                  <wp:extent cx="1138969" cy="1607608"/>
                  <wp:effectExtent l="0" t="0" r="4445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77" cy="160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93A1E" w14:paraId="1FD9D3AB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FA3BF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152E6368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9A1593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72381778" wp14:editId="6CE93D9E">
                  <wp:extent cx="128905" cy="128905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3A62B2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4AEDCD4F" wp14:editId="1FEA33BB">
                  <wp:extent cx="2404527" cy="1213238"/>
                  <wp:effectExtent l="0" t="0" r="8890" b="635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995" cy="121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E92CA6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628897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Peter de Grote Festival</w:t>
            </w:r>
          </w:p>
          <w:p w14:paraId="011EC9BF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Van 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27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juli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t/m 6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augustus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elfde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editie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Peter de Grote Festival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plaats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zo'n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40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kamermuziekconcerten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georgeniseerd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bijzondere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locaties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Groningen, Friesland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Drenthe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193A1E" w14:paraId="6354710E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A8370B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1B1862EA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82164B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76CF5337" wp14:editId="0AB84D5C">
                  <wp:extent cx="128905" cy="128905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9E0221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Openingsmanifestatie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EerPel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/NP3.tmp</w:t>
            </w:r>
          </w:p>
          <w:p w14:paraId="1EC47F63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NP3 is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representatieve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mediacombinatie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rond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grenzen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experimentele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hedendaagse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podium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jong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denkende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beeldenzoekers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focus op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innovatie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alternatieve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veld.</w:t>
            </w:r>
          </w:p>
          <w:p w14:paraId="7357B2CF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Het Open Lab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Ebbinge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wil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laboratorium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innovatieve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bouwontwikkelingen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tijdelijk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bouwen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gebruik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duurzame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bouwprincipes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toepassen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verplaatsbaar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vastgoed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bijzonder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initiatief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is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paviljoen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MOBi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Eerpel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begane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grond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wordt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door NP3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gebruikt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expositie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-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projectruimte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7391BC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AA8761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5B7C76F2" wp14:editId="50EC086A">
                  <wp:extent cx="596265" cy="77216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 </w:t>
            </w: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A0BB6EF" wp14:editId="7E759BED">
                  <wp:extent cx="2540000" cy="142240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1E" w14:paraId="7B381CDD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77A36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1ECBF67F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B853C8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00EBE0A4" wp14:editId="7415ABB2">
                  <wp:extent cx="128905" cy="128905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72DF1E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7E68CDBD" wp14:editId="15A9BDA1">
                  <wp:extent cx="2207895" cy="2664701"/>
                  <wp:effectExtent l="0" t="0" r="1905" b="254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139" cy="26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E67C55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3C9B14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Album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Gouke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Notebomer</w:t>
            </w:r>
            <w:proofErr w:type="spellEnd"/>
          </w:p>
          <w:p w14:paraId="2E160BB5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fraai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vormgegeven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album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geeft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goed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overzicht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Gouke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Notebomer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(1947 - 2009).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bevat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inleidende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tekst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Eric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uitgebreid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interview met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Gouke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enkele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gedichten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foto's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schilderijen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tekeningen</w:t>
            </w:r>
            <w:proofErr w:type="spellEnd"/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aqualrellen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193A1E" w14:paraId="7C375F47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BC3484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140D89E2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4F10E3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2BDC879B" wp14:editId="464B0F0A">
                  <wp:extent cx="128905" cy="128905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47DC76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Mahler en Schubert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masterclass</w:t>
            </w:r>
            <w:proofErr w:type="spellEnd"/>
          </w:p>
          <w:p w14:paraId="4EE1686B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was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eeuw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geleden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Gustav Mahler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stierf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Vereniging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Vrienden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Lied en de Schubert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Stichting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beschouwden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herdenkingsjaar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goede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gelegenheid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samenwerkingsverband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kon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bijzondere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editie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masterclass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professionele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duo's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worden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gepresenteerd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 Op 10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april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2011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heeft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beurs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Berlage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uitvoering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slotconcert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plaats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gevonden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6FAAA3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EF1F9EB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488CC248" wp14:editId="5B062137">
                  <wp:extent cx="2030095" cy="2657324"/>
                  <wp:effectExtent l="0" t="0" r="1905" b="1016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521" cy="265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1E" w14:paraId="5C4D0FEA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F70F3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5057B88E" w14:textId="77777777" w:rsidTr="00193A1E">
        <w:tblPrEx>
          <w:tblBorders>
            <w:top w:val="none" w:sz="0" w:space="0" w:color="auto"/>
          </w:tblBorders>
        </w:tblPrEx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686498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5352BC0" wp14:editId="33DC2663">
                  <wp:extent cx="128905" cy="128905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E7D3DE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1FB9824D" wp14:editId="2AC891C0">
                  <wp:extent cx="3314286" cy="2070735"/>
                  <wp:effectExtent l="0" t="0" r="0" b="12065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154" cy="207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B7AB6A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37CB16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Emo's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reis</w:t>
            </w:r>
            <w:proofErr w:type="spellEnd"/>
          </w:p>
          <w:p w14:paraId="4A76F311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Dit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prof. Dirk de Boer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volgt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voetspoor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abt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Emo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zo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nauwgezet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mogelijk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Abt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Emo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maakte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800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jaar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geleden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reis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via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een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denkbeeldige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rechte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lijn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Wittewierum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naar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Rome</w:t>
            </w:r>
            <w:proofErr w:type="gram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. </w:t>
            </w:r>
            <w:proofErr w:type="gram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boek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gebruikt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worden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historisch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naslagwerk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verhalenboek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als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reisgids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deze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tijd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.</w:t>
            </w:r>
          </w:p>
        </w:tc>
      </w:tr>
      <w:tr w:rsidR="00193A1E" w14:paraId="25BF0C2E" w14:textId="77777777" w:rsidTr="00193A1E">
        <w:tblPrEx>
          <w:tblBorders>
            <w:top w:val="none" w:sz="0" w:space="0" w:color="auto"/>
          </w:tblBorders>
        </w:tblPrEx>
        <w:tc>
          <w:tcPr>
            <w:tcW w:w="6440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FF035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</w:t>
            </w:r>
          </w:p>
        </w:tc>
      </w:tr>
      <w:tr w:rsidR="00193A1E" w14:paraId="397030CE" w14:textId="77777777" w:rsidTr="00193A1E">
        <w:tc>
          <w:tcPr>
            <w:tcW w:w="2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42FBE8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6B8C3B0E" wp14:editId="7DC26CC9">
                  <wp:extent cx="128905" cy="128905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C6B9C9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Terug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naar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het begin 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Cultureel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festival in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oude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Groninger</w:t>
            </w:r>
            <w:proofErr w:type="spellEnd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83838"/>
                <w:sz w:val="28"/>
                <w:szCs w:val="28"/>
                <w:lang w:val="en-US"/>
              </w:rPr>
              <w:t>Kerken</w:t>
            </w:r>
            <w:proofErr w:type="spellEnd"/>
          </w:p>
          <w:p w14:paraId="4BD2514D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Studenten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van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academie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Minerva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maakten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speciaal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voor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Terug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naar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het begin</w:t>
            </w: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nieuwe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kunstwerken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lieten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zich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inspireren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door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kerken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,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omgeving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het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Hopen</w:t>
            </w:r>
            <w:proofErr w:type="spellEnd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 xml:space="preserve"> of </w:t>
            </w:r>
            <w:proofErr w:type="spellStart"/>
            <w:r>
              <w:rPr>
                <w:rFonts w:ascii="Verdana" w:hAnsi="Verdana" w:cs="Verdana"/>
                <w:i/>
                <w:iCs/>
                <w:color w:val="383838"/>
                <w:sz w:val="28"/>
                <w:szCs w:val="28"/>
                <w:lang w:val="en-US"/>
              </w:rPr>
              <w:t>geloven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Aan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onwerpen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liggen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mooie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ideeën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persoonlijke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verhalen</w:t>
            </w:r>
            <w:proofErr w:type="spellEnd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 xml:space="preserve"> ten </w:t>
            </w:r>
            <w:proofErr w:type="spellStart"/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grondslag</w:t>
            </w:r>
            <w:proofErr w:type="spellEnd"/>
          </w:p>
        </w:tc>
        <w:tc>
          <w:tcPr>
            <w:tcW w:w="5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85C56C" w14:textId="77777777" w:rsidR="00193A1E" w:rsidRDefault="00193A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  <w:t>     </w:t>
            </w:r>
          </w:p>
        </w:tc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F3A0E4" w14:textId="77777777" w:rsidR="00193A1E" w:rsidRDefault="00193A1E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Verdana" w:hAnsi="Verdana" w:cs="Verdana"/>
                <w:color w:val="383838"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noProof/>
                <w:color w:val="383838"/>
                <w:sz w:val="28"/>
                <w:szCs w:val="28"/>
                <w:lang w:val="en-US"/>
              </w:rPr>
              <w:drawing>
                <wp:inline distT="0" distB="0" distL="0" distR="0" wp14:anchorId="26D46005" wp14:editId="3C74632D">
                  <wp:extent cx="2540000" cy="254000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0D30D8" w14:textId="77777777" w:rsidR="0087368C" w:rsidRDefault="0087368C"/>
    <w:sectPr w:rsidR="0087368C" w:rsidSect="00873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1E"/>
    <w:rsid w:val="00193A1E"/>
    <w:rsid w:val="00841717"/>
    <w:rsid w:val="008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D0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93A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93A1E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93A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93A1E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936</Words>
  <Characters>5148</Characters>
  <Application>Microsoft Macintosh Word</Application>
  <DocSecurity>0</DocSecurity>
  <Lines>42</Lines>
  <Paragraphs>12</Paragraphs>
  <ScaleCrop>false</ScaleCrop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2</cp:revision>
  <dcterms:created xsi:type="dcterms:W3CDTF">2015-03-25T10:52:00Z</dcterms:created>
  <dcterms:modified xsi:type="dcterms:W3CDTF">2015-04-04T14:52:00Z</dcterms:modified>
</cp:coreProperties>
</file>