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E" w:rsidRDefault="00DB01BE" w:rsidP="00DB01BE">
      <w:pPr>
        <w:widowControl w:val="0"/>
        <w:autoSpaceDE w:val="0"/>
        <w:autoSpaceDN w:val="0"/>
        <w:adjustRightInd w:val="0"/>
        <w:spacing w:after="327"/>
        <w:jc w:val="center"/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>Toegekende</w:t>
      </w:r>
      <w:proofErr w:type="spellEnd"/>
      <w:r>
        <w:rPr>
          <w:rFonts w:ascii="Verdana" w:hAnsi="Verdana" w:cs="Verdana"/>
          <w:b/>
          <w:bCs/>
          <w:color w:val="383838"/>
          <w:sz w:val="32"/>
          <w:szCs w:val="32"/>
          <w:lang w:val="en-US"/>
        </w:rPr>
        <w:t xml:space="preserve"> subsidies in 2008</w:t>
      </w:r>
    </w:p>
    <w:tbl>
      <w:tblPr>
        <w:tblW w:w="1047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000"/>
        <w:gridCol w:w="500"/>
        <w:gridCol w:w="311"/>
        <w:gridCol w:w="5260"/>
      </w:tblGrid>
      <w:tr w:rsidR="00DB01BE" w:rsidTr="00DB01BE">
        <w:tblPrEx>
          <w:tblCellMar>
            <w:top w:w="0" w:type="dxa"/>
            <w:bottom w:w="0" w:type="dxa"/>
          </w:tblCellMar>
        </w:tblPrEx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3EC768C" wp14:editId="718CA4D5">
                  <wp:extent cx="123190" cy="123190"/>
                  <wp:effectExtent l="0" t="0" r="381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HOLT,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vereniging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noordelijke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hoogdrukkers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drie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noordelijke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provincies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vereniging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in 1998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ontstaan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vanuit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groep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grafici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academie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Groningen, Minerva,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opgeleid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Inmiddels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andere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hoogdrukkers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aangesloten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prenten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grafiek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 door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middel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ambachtelijke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hoogdruk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technieken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houtsnede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linosnede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gravure.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31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 w:rsidP="00DB01BE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 w:rsidP="00DB01BE">
            <w:pPr>
              <w:widowControl w:val="0"/>
              <w:autoSpaceDE w:val="0"/>
              <w:autoSpaceDN w:val="0"/>
              <w:adjustRightInd w:val="0"/>
              <w:spacing w:after="280"/>
              <w:ind w:left="-1808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B9C86A0" wp14:editId="7EE57CB7">
                  <wp:extent cx="1878330" cy="1844894"/>
                  <wp:effectExtent l="0" t="0" r="127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84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individuele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stijlen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werkwijzen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lopen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erg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zowel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abstract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figuratief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zwart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-wit of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kleurig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grof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heel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gesneden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DB01BE" w:rsidTr="00DB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91C8901" wp14:editId="46C0B7B7">
                  <wp:extent cx="123190" cy="123190"/>
                  <wp:effectExtent l="0" t="0" r="381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A54C4D7" wp14:editId="51105262">
                  <wp:extent cx="1931670" cy="2537460"/>
                  <wp:effectExtent l="0" t="0" r="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31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Izhar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Elias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studeerde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conservatorium in Groningen en is nu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gelauwerd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gitarist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  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Quirine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Scheffers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violiste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primarus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Rubens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kwartet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enkele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Delfzijl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gespeeld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heeft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talentvolle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duo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nov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2008 op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Molenberg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o.a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Arpeggione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Sonate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geldt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meesterwerk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Schubert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spaanse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componist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Isaac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Albéniz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.   </w:t>
            </w:r>
          </w:p>
        </w:tc>
      </w:tr>
      <w:tr w:rsidR="00DB01BE" w:rsidTr="00DB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280B994" wp14:editId="3F5C1531">
                  <wp:extent cx="123190" cy="123190"/>
                  <wp:effectExtent l="0" t="0" r="381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IVAK - LIVE IN ITALY 2008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IVAK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Jeugd-Vocaal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lastRenderedPageBreak/>
              <w:t xml:space="preserve">Ensemble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bestaat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twintigtal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enthousiaste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jongens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meisjes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leeftijd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12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tot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24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allemaal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leerlingen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Nanny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zangdocente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IVAK.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lastRenderedPageBreak/>
              <w:t>     </w:t>
            </w:r>
          </w:p>
        </w:tc>
        <w:tc>
          <w:tcPr>
            <w:tcW w:w="31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4AA5DC01" wp14:editId="57F5FF15">
                  <wp:extent cx="2750266" cy="1817191"/>
                  <wp:effectExtent l="0" t="0" r="0" b="1206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02" cy="181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IVAK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Jeugd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Vocaal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Ensemble</w:t>
            </w:r>
          </w:p>
        </w:tc>
      </w:tr>
      <w:tr w:rsidR="00DB01BE" w:rsidTr="00DB01BE">
        <w:tblPrEx>
          <w:tblCellMar>
            <w:top w:w="0" w:type="dxa"/>
            <w:bottom w:w="0" w:type="dxa"/>
          </w:tblCellMar>
        </w:tblPrEx>
        <w:tc>
          <w:tcPr>
            <w:tcW w:w="4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30AD1DE" wp14:editId="612225B6">
                  <wp:extent cx="123190" cy="123190"/>
                  <wp:effectExtent l="0" t="0" r="381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60D9ED1" wp14:editId="0392A0C1">
                  <wp:extent cx="2929958" cy="1821901"/>
                  <wp:effectExtent l="0" t="0" r="0" b="698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958" cy="18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31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fraai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480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pagina's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geïllustreerd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600 full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foto's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Citaat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voorwoord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prof. dr. James C Kennedy,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hoogleraar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Nederlandse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Geschiedenis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Universiteit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Amsterdam:</w:t>
            </w:r>
          </w:p>
          <w:p w:rsidR="00DB01BE" w:rsidRDefault="00DB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... </w:t>
            </w:r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In het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samenbrengen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van al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historische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één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boek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de auteurs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grote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dienst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bewezen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bescherming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religieus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erfgoed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provincie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Groningen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...</w:t>
            </w:r>
          </w:p>
        </w:tc>
      </w:tr>
    </w:tbl>
    <w:p w:rsidR="0087368C" w:rsidRDefault="0087368C" w:rsidP="00DB01BE">
      <w:pPr>
        <w:tabs>
          <w:tab w:val="left" w:pos="4962"/>
          <w:tab w:val="left" w:pos="5670"/>
        </w:tabs>
      </w:pPr>
      <w:bookmarkStart w:id="0" w:name="_GoBack"/>
      <w:bookmarkEnd w:id="0"/>
    </w:p>
    <w:sectPr w:rsidR="0087368C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E"/>
    <w:rsid w:val="0087368C"/>
    <w:rsid w:val="00D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01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01B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01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01B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1</cp:revision>
  <dcterms:created xsi:type="dcterms:W3CDTF">2014-12-10T14:06:00Z</dcterms:created>
  <dcterms:modified xsi:type="dcterms:W3CDTF">2014-12-10T14:09:00Z</dcterms:modified>
</cp:coreProperties>
</file>