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17" w:rsidRDefault="005B2F17" w:rsidP="005B2F17">
      <w:pPr>
        <w:widowControl w:val="0"/>
        <w:autoSpaceDE w:val="0"/>
        <w:autoSpaceDN w:val="0"/>
        <w:adjustRightInd w:val="0"/>
        <w:spacing w:after="327"/>
        <w:jc w:val="center"/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  <w:t>Toegekende</w:t>
      </w:r>
      <w:proofErr w:type="spellEnd"/>
      <w:r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  <w:t xml:space="preserve"> subsidies in 2009</w:t>
      </w:r>
    </w:p>
    <w:tbl>
      <w:tblPr>
        <w:tblW w:w="1012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266"/>
        <w:gridCol w:w="284"/>
        <w:gridCol w:w="253"/>
        <w:gridCol w:w="4800"/>
      </w:tblGrid>
      <w:tr w:rsidR="005B2F17" w:rsidTr="005B2F17">
        <w:tblPrEx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C71F73B" wp14:editId="7B266F57">
                  <wp:extent cx="123190" cy="123190"/>
                  <wp:effectExtent l="0" t="0" r="381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C8A65CD" wp14:editId="3470336E">
                  <wp:extent cx="2157536" cy="2010688"/>
                  <wp:effectExtent l="0" t="0" r="190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536" cy="201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05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TWIST II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Op 21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november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Paleis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feestelijke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presentatie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TWIST II,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creatieve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index van Groningen.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onzin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over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creativiteit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over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ontwikkelingen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creatieve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stad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aandacht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architectuur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stedenbouw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theater,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poëzie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film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nieuwe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media. Ola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Mafaalani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schreef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voorwoord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2DA718D" wp14:editId="3142FE06">
                  <wp:extent cx="123190" cy="123190"/>
                  <wp:effectExtent l="0" t="0" r="3810" b="381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Muur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Geluid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jaar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9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nov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groep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gitaristen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creëerde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Geluid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Mauerpark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Berlijn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elk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gevallene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vergeefs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geprobeerd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had over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komen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was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gitarist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25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217F0D0" wp14:editId="1B7E4417">
                  <wp:extent cx="2415295" cy="1760256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819" cy="176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960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duidelijk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gemaakt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vrijheid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basisrecht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iedereen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is.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initiatief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groningse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rock-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metalband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Noir.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F56CC9C" wp14:editId="5FF42F52">
                  <wp:extent cx="123190" cy="123190"/>
                  <wp:effectExtent l="0" t="0" r="381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35C854E6" wp14:editId="616DDBE9">
                  <wp:extent cx="3809491" cy="2066811"/>
                  <wp:effectExtent l="0" t="0" r="63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491" cy="206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lastRenderedPageBreak/>
              <w:t>     </w:t>
            </w:r>
          </w:p>
        </w:tc>
        <w:tc>
          <w:tcPr>
            <w:tcW w:w="505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Jonge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harten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theaterfestival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programma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twaalfde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editie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Jonge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Harten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Festival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bevatte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maar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liefst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37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voorstellingen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Opvallend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aantal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internationale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producties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lastRenderedPageBreak/>
              <w:t xml:space="preserve">Les Slovaks,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Emio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Greco|PC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Rannel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Theatre Company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Miet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Warlop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traden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eerst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op.Daarnaast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vertrouwde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namen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toneelgroep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JAN,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Kopergietery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DOX en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Noorderlingen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aanwezig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lastRenderedPageBreak/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2BBC39A" wp14:editId="484BB92C">
                  <wp:extent cx="123190" cy="123190"/>
                  <wp:effectExtent l="0" t="0" r="381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Slotaccoord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Op 25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oktober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Anneloes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Volmer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(mezzo-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sopraan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Edzo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(Piano)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concert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gegeven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laatste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activiteit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die in Golden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Zielje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jachthaven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Termuntenzijl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 </w:t>
            </w: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georganiseerd.Een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waardig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slotaccoord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25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C0B98BD" wp14:editId="03EF56A4">
                  <wp:extent cx="1576605" cy="1763156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05" cy="176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DBDE621" wp14:editId="0932715C">
                  <wp:extent cx="123190" cy="123190"/>
                  <wp:effectExtent l="0" t="0" r="3810" b="381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6F338314" wp14:editId="263879FF">
                  <wp:extent cx="2089972" cy="3020124"/>
                  <wp:effectExtent l="0" t="0" r="0" b="254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972" cy="302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05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Geloofsstrijd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Met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oog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actuele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'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geloofsstrijd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',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botsing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tussen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culturen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innerlijk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conflict,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sloot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KunstCircuit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2009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geëigende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manier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bij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internationale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Fotomanifestatie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Noorderlicht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De route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fotografie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nieuwe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media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historische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noordoosten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Groningen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maakte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satellietprogramma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vermaarde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fotofestival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noemer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Human Conditions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brengt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Noorderlicht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facetten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strijd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algemeen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voetlicht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3909832" wp14:editId="6D2B9F23">
                  <wp:extent cx="123190" cy="123190"/>
                  <wp:effectExtent l="0" t="0" r="3810" b="381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Blik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Delfzijl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kern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tentoonstelling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Schilders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Delfzijl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"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november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1956.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uitnodiging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provinciebestuur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12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hun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blik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over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nieuwe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zeesluizen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bij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Farmsum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verbetering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Eemskanaal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25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D84EDE9" wp14:editId="2FA7E893">
                  <wp:extent cx="2183133" cy="1697326"/>
                  <wp:effectExtent l="0" t="0" r="1270" b="508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3" cy="169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D95F0FE" wp14:editId="1C4AFA58">
                  <wp:extent cx="123190" cy="123190"/>
                  <wp:effectExtent l="0" t="0" r="3810" b="381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372D30C" wp14:editId="67171500">
                  <wp:extent cx="1875455" cy="2166563"/>
                  <wp:effectExtent l="0" t="0" r="4445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55" cy="21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05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'Holt' 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Vereniging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Noordelijke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Hoogdrukkers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Holt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toonden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hun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Adam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Delfzijl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'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Windkracht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'.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windkracht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doet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inspireerde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windkracht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elk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kunstanaars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themaprent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Naast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themaprenten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eigen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gehouden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28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juni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tot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zondag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26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juli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2009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68044C2" wp14:editId="41DA9633">
                  <wp:extent cx="123190" cy="123190"/>
                  <wp:effectExtent l="0" t="0" r="3810" b="381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IVAK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Jeugd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Vocaal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Ensemble op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Concertreis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Italië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Begin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juli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reisde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IVAC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Jeugd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Ensemble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Ensemble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Italië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concerten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programma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opgenomen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Mozart en Bizet, Maria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liederen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Renaissance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ook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moderne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</w:t>
            </w:r>
            <w:proofErr w:type="spellEnd"/>
          </w:p>
        </w:tc>
        <w:tc>
          <w:tcPr>
            <w:tcW w:w="25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9C1068E" wp14:editId="7D25623B">
                  <wp:extent cx="2885533" cy="1710169"/>
                  <wp:effectExtent l="0" t="0" r="1016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533" cy="171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3F0A343" wp14:editId="61B4193B">
                  <wp:extent cx="123190" cy="123190"/>
                  <wp:effectExtent l="0" t="0" r="3810" b="381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Geluidskunstenaar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Harry de Wit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Groninger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platteland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27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juni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festival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Terug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Begin"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gehouden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Harry de Wit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trad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hier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bijzonder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klankstuk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Elementi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',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hij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speciaal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festival had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gecomponeerd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Hij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klankstuk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samen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Belle Marie de Wit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Petrus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Paulus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Loppersum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1BF4BFF" wp14:editId="72D33F97">
                  <wp:extent cx="123190" cy="123190"/>
                  <wp:effectExtent l="0" t="0" r="3810" b="381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D3B6869" wp14:editId="5B2154FE">
                  <wp:extent cx="2619066" cy="1774383"/>
                  <wp:effectExtent l="0" t="0" r="0" b="381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066" cy="177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05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125 JAAR SPOOR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gelegenheid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125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jarig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spoorverbinding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tussen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Groningen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Delfzijl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verschillende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culturele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activiteiten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georganiseerd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theatervoorstelling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"OLGA" die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tijdens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treinreis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opgevoerd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B175275" wp14:editId="48C33EB3">
                  <wp:extent cx="123190" cy="123190"/>
                  <wp:effectExtent l="0" t="0" r="3810" b="381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DOLF VERLINDEN  JAN GLAS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je bent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schilder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"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boekuitgave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schilderijen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Dolf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Verlinden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gedichten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Jan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Glas</w:t>
            </w:r>
            <w:proofErr w:type="spellEnd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boekpresentatie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plaats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2009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galerie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ANDERWERELD.</w:t>
            </w:r>
          </w:p>
        </w:tc>
        <w:tc>
          <w:tcPr>
            <w:tcW w:w="25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5493DF6" wp14:editId="65DAAD2E">
                  <wp:extent cx="1797106" cy="1597153"/>
                  <wp:effectExtent l="0" t="0" r="6350" b="317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06" cy="159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23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82C3170" wp14:editId="127156CE">
                  <wp:extent cx="123190" cy="123190"/>
                  <wp:effectExtent l="0" t="0" r="3810" b="381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11BCA65" wp14:editId="423048F4">
                  <wp:extent cx="606425" cy="369570"/>
                  <wp:effectExtent l="0" t="0" r="3175" b="1143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05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Datare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Noordlaren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organiseerde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Klooster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TerApel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manifestatie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waarin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beeldelementen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tekst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persoonlijke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benadering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leefwereld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Hildegard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(1098 - 1179)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gezocht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3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24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april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t/m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zondag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juni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2009 was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INGEKEERD KIJKEN</w:t>
            </w: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Yvonne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Struys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zondag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16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30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14.00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speciale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lezingen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muziekuitvoering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of film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beluisteren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6129AD63" wp14:editId="16ED9E3C">
                  <wp:extent cx="123190" cy="123190"/>
                  <wp:effectExtent l="0" t="0" r="3810" b="381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Jubileumconcert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 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Capella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Oecumenia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Delfzijl</w:t>
            </w:r>
            <w:proofErr w:type="spellEnd"/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7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maart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2009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jarig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gevierd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jubileum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concert.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concert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verzorg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zelf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aangevuld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enkele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oud-leden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Drents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Kamerkoor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Sonus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Vita, Ellen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Klopstra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sopraan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Steketee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orgel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25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4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 w:rsidP="005B2F17">
            <w:pPr>
              <w:widowControl w:val="0"/>
              <w:autoSpaceDE w:val="0"/>
              <w:autoSpaceDN w:val="0"/>
              <w:adjustRightInd w:val="0"/>
              <w:spacing w:after="280"/>
              <w:ind w:left="-657" w:firstLine="497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4DC3386" wp14:editId="7EB15958">
                  <wp:extent cx="1492194" cy="2149389"/>
                  <wp:effectExtent l="0" t="0" r="6985" b="1016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94" cy="214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5B2F17" w:rsidTr="005B2F17">
        <w:tblPrEx>
          <w:tblCellMar>
            <w:top w:w="0" w:type="dxa"/>
            <w:bottom w:w="0" w:type="dxa"/>
          </w:tblCellMar>
        </w:tblPrEx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4E0F084" wp14:editId="0477BF24">
                  <wp:extent cx="123190" cy="123190"/>
                  <wp:effectExtent l="0" t="0" r="3810" b="381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0EC6AA0" wp14:editId="08C3257D">
                  <wp:extent cx="2537460" cy="2537460"/>
                  <wp:effectExtent l="0" t="0" r="2540" b="254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Ragzazze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kwartet</w:t>
            </w:r>
            <w:proofErr w:type="spellEnd"/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25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4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B2F17" w:rsidRDefault="005B2F17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dames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Ragazze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kwartet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elkaar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tijdens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hun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studie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den Haag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ontmoet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jongste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professionele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strijkkwartet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Nederland.  Het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kwartet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bestaat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Rosa Arnolds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viool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Jeanita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viool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Annemijn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Bergotte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altviool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 en Geneviève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Verhage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(cello)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kwartet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trad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feb.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2009 op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Molenberg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het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strijkkwartet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Mozart en Adagio for Strings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amerikeense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componist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Samuel Barber.</w:t>
            </w:r>
          </w:p>
        </w:tc>
      </w:tr>
    </w:tbl>
    <w:p w:rsidR="0087368C" w:rsidRDefault="0087368C">
      <w:bookmarkStart w:id="0" w:name="_GoBack"/>
      <w:bookmarkEnd w:id="0"/>
    </w:p>
    <w:sectPr w:rsidR="0087368C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7"/>
    <w:rsid w:val="005B2F17"/>
    <w:rsid w:val="008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31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B2F1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B2F17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B2F1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B2F17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789</Words>
  <Characters>4342</Characters>
  <Application>Microsoft Macintosh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1</cp:revision>
  <dcterms:created xsi:type="dcterms:W3CDTF">2014-12-10T14:10:00Z</dcterms:created>
  <dcterms:modified xsi:type="dcterms:W3CDTF">2014-12-10T14:12:00Z</dcterms:modified>
</cp:coreProperties>
</file>